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460"/>
        <w:jc w:val="center"/>
        <w:rPr>
          <w:rFonts w:ascii="Arial" w:cs="Arial" w:hAnsi="Arial" w:eastAsia="Arial"/>
          <w:sz w:val="54"/>
          <w:szCs w:val="54"/>
        </w:rPr>
      </w:pPr>
      <w:r>
        <w:rPr>
          <w:rFonts w:ascii="Arial" w:hAnsi="Arial" w:hint="default"/>
          <w:outline w:val="0"/>
          <w:color w:val="ff1a00"/>
          <w:sz w:val="54"/>
          <w:szCs w:val="54"/>
          <w:u w:color="2f5496"/>
          <w:rtl w:val="0"/>
          <w:lang w:val="ru-RU"/>
          <w14:textFill>
            <w14:solidFill>
              <w14:srgbClr w14:val="FF1A00"/>
            </w14:solidFill>
          </w14:textFill>
        </w:rPr>
        <w:t>Внимание</w:t>
      </w:r>
      <w:r>
        <w:rPr>
          <w:rFonts w:ascii="Arial" w:hAnsi="Arial"/>
          <w:outline w:val="0"/>
          <w:color w:val="ff1a00"/>
          <w:sz w:val="54"/>
          <w:szCs w:val="54"/>
          <w:u w:color="2f5496"/>
          <w:rtl w:val="0"/>
          <w:lang w:val="en-US"/>
          <w14:textFill>
            <w14:solidFill>
              <w14:srgbClr w14:val="FF1A00"/>
            </w14:solidFill>
          </w14:textFill>
        </w:rPr>
        <w:t>!</w:t>
      </w:r>
      <w:r>
        <w:rPr>
          <w:rFonts w:ascii="Arial" w:cs="Arial" w:hAnsi="Arial" w:eastAsia="Arial"/>
          <w:outline w:val="0"/>
          <w:color w:val="ff1a00"/>
          <w:sz w:val="54"/>
          <w:szCs w:val="54"/>
          <w:u w:color="2f5496"/>
          <w:lang w:val="en-US"/>
          <w14:textFill>
            <w14:solidFill>
              <w14:srgbClr w14:val="FF1A00"/>
            </w14:solidFill>
          </w14:textFill>
        </w:rPr>
        <w:drawing xmlns:a="http://schemas.openxmlformats.org/drawingml/2006/main">
          <wp:anchor distT="203200" distB="203200" distL="203200" distR="203200" simplePos="0" relativeHeight="251659264" behindDoc="0" locked="0" layoutInCell="1" allowOverlap="1">
            <wp:simplePos x="0" y="0"/>
            <wp:positionH relativeFrom="page">
              <wp:posOffset>329562</wp:posOffset>
            </wp:positionH>
            <wp:positionV relativeFrom="line">
              <wp:posOffset>15397</wp:posOffset>
            </wp:positionV>
            <wp:extent cx="3442528" cy="2262235"/>
            <wp:effectExtent l="0" t="0" r="0" b="0"/>
            <wp:wrapSquare wrapText="bothSides" distL="203200" distR="203200" distT="203200" distB="203200"/>
            <wp:docPr id="1073741825" name="officeArt object" descr="logo-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ru.png" descr="logo-r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6" t="0" r="8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2528" cy="2262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54000" dist="127000" dir="1620000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400" w:line="420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Учеников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1-11 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классов и учителей приглашаем участвовать в конкурсах «Бр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ru-RU"/>
        </w:rPr>
        <w:t>э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йн Ринг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202</w:t>
      </w:r>
      <w:r>
        <w:rPr>
          <w:rFonts w:ascii="Calibri" w:hAnsi="Calibri"/>
          <w:b w:val="1"/>
          <w:bCs w:val="1"/>
          <w:sz w:val="36"/>
          <w:szCs w:val="36"/>
          <w:rtl w:val="0"/>
          <w:lang w:val="ru-RU"/>
        </w:rPr>
        <w:t>4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 - 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Весенняя сессия» для учащихся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1-11 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классов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️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Участие в конкурсах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«Бр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ru-RU"/>
        </w:rPr>
        <w:t>э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 xml:space="preserve">йн Ринг 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202</w:t>
      </w:r>
      <w:r>
        <w:rPr>
          <w:rFonts w:ascii="Calibri" w:hAnsi="Calibri"/>
          <w:b w:val="1"/>
          <w:bCs w:val="1"/>
          <w:sz w:val="32"/>
          <w:szCs w:val="32"/>
          <w:rtl w:val="0"/>
          <w:lang w:val="ru-RU"/>
        </w:rPr>
        <w:t>4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Весенняя сессия»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возможн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 любое время с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марта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202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включительно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🌟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конкурсов по различным предметам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русский язык и литература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английский язык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математика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биология и окружающий мир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информатика и ИКТ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физика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химия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история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география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обществознание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🎯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Цель конкурсов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-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повышение мотивации учащихся к обучению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📚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Задания различной сложности соответствуют учебной программе и разделены на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уровней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соответствующих классам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🕒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40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минут на выполнение всех заданий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(1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урок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).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🏆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Все участники получат именные дипломы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грамоты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и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«Брэйн Ринг»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 ручки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.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Так же смогут выиграть другие ценные призы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💵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Учителя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кураторы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которые зарегистрируют своих учеников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получат сертификат организатора конкурсов и денежную компенсацию до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30%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от суммы взносов за участие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🥇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Учителя участников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которые получат дипломы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1-3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степеней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получат свидетельства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подтверждающие эти достижения учеников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🏡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Ученики могут участвовать в любое удобное время не только в школе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но и дома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поэтому дистанционное обучение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-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не помеха для участия в конкурсах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🖥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️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 Участие в конкурсах проходит на сайте </w:t>
      </w:r>
      <w:r>
        <w:rPr>
          <w:rFonts w:ascii="Calibri" w:hAnsi="Calibri"/>
          <w:b w:val="1"/>
          <w:bCs w:val="1"/>
          <w:outline w:val="0"/>
          <w:color w:val="0008ff"/>
          <w:sz w:val="32"/>
          <w:szCs w:val="32"/>
          <w:u w:color="0008ff"/>
          <w:rtl w:val="0"/>
          <w:lang w:val="en-US"/>
          <w14:textFill>
            <w14:solidFill>
              <w14:srgbClr w14:val="0008FF"/>
            </w14:solidFill>
          </w14:textFill>
        </w:rPr>
        <w:t>www.brainring.ru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💰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Стоимость участия одного ученика в конкурсах — </w:t>
      </w:r>
      <w:r>
        <w:rPr>
          <w:rFonts w:ascii="Calibri" w:hAnsi="Calibri"/>
          <w:b w:val="1"/>
          <w:bCs w:val="1"/>
          <w:sz w:val="32"/>
          <w:szCs w:val="32"/>
          <w:rtl w:val="0"/>
          <w:lang w:val="ru-RU"/>
        </w:rPr>
        <w:t>20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0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ru-RU"/>
        </w:rPr>
        <w:t>рублей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🔗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Р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еєстрація на участь в конкурсах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та докладніше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outline w:val="0"/>
          <w:color w:val="0008ff"/>
          <w:sz w:val="32"/>
          <w:szCs w:val="32"/>
          <w:u w:color="0008ff"/>
          <w:rtl w:val="0"/>
          <w:lang w:val="en-US"/>
          <w14:textFill>
            <w14:solidFill>
              <w14:srgbClr w14:val="0008FF"/>
            </w14:solidFill>
          </w14:textFill>
        </w:rPr>
        <w:t>www.brainring.ru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