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Įprastasis"/>
        <w:rPr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Уважаемая администрация</w:t>
      </w: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</w:p>
    <w:p>
      <w:pPr>
        <w:pStyle w:val="Įprastasis"/>
        <w:jc w:val="both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Приглашаем учеников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—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11 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классов и их учителей принять участие в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Международных дистанционных образовательных конкурсах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«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202</w:t>
      </w:r>
      <w:r>
        <w:rPr>
          <w:b w:val="1"/>
          <w:bCs w:val="1"/>
          <w:sz w:val="30"/>
          <w:szCs w:val="30"/>
          <w:rtl w:val="0"/>
          <w:lang w:val="ru-RU"/>
        </w:rPr>
        <w:t>4</w:t>
      </w:r>
      <w:r>
        <w:rPr>
          <w:b w:val="1"/>
          <w:bCs w:val="1"/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– Осенняя сессия»</w:t>
      </w:r>
      <w:r>
        <w:rPr>
          <w:outline w:val="0"/>
          <w:color w:val="000000"/>
          <w:sz w:val="30"/>
          <w:szCs w:val="3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sz w:val="30"/>
          <w:szCs w:val="30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450851</wp:posOffset>
            </wp:positionH>
            <wp:positionV relativeFrom="line">
              <wp:posOffset>360319</wp:posOffset>
            </wp:positionV>
            <wp:extent cx="3035789" cy="1994946"/>
            <wp:effectExtent l="0" t="0" r="0" b="0"/>
            <wp:wrapSquare wrapText="bothSides" distL="57150" distR="57150" distT="57150" distB="57150"/>
            <wp:docPr id="1073741825" name="officeArt object" descr="logo-r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-ru.png" descr="logo-ru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85" t="0" r="8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789" cy="19949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Įprastasis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С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ноября состоятся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9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конкурсов по таким предметам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русский язык и литература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английский язык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математика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б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иология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 о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кружающий мир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нформатика и ИКТ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изика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химия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история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география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Цель конкурсов – </w:t>
      </w:r>
      <w:r>
        <w:rPr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повышение мотивации учащихся к учебе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Это не олимпиада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конкурсах есть задания разной сложности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поэтому в них могут участвовать все ученики без исключения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Задания конкурсов соответствуют российским учебным программам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Ознакомиться с примерами заданий можно в демонстрационной версии конкурсов на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Все участники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получают 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менные печатные дипломы и фирменн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ую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ручк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«Брэйн Ринг»</w:t>
      </w:r>
    </w:p>
    <w:p>
      <w:pPr>
        <w:pStyle w:val="Įprastasis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Кураторы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которые зарегистрируют учеников и оплатят их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сертификат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организатора конкурсов и денежную компенсацию до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30%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от суммы взносов за участие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jc w:val="both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Учителя участников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которые получат дипломы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1-3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степеней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получат </w:t>
      </w:r>
      <w:r>
        <w:rPr>
          <w:rStyle w:val="None"/>
          <w:b w:val="1"/>
          <w:bCs w:val="1"/>
          <w:sz w:val="26"/>
          <w:szCs w:val="26"/>
          <w:rtl w:val="0"/>
          <w:lang w:val="en-US"/>
        </w:rPr>
        <w:t>свидетельства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подтверждающие достижения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их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0288" behindDoc="0" locked="0" layoutInCell="1" allowOverlap="1">
                <wp:simplePos x="0" y="0"/>
                <wp:positionH relativeFrom="page">
                  <wp:posOffset>308292</wp:posOffset>
                </wp:positionH>
                <wp:positionV relativeFrom="line">
                  <wp:posOffset>269071</wp:posOffset>
                </wp:positionV>
                <wp:extent cx="7155825" cy="1800877"/>
                <wp:effectExtent l="0" t="0" r="0" b="0"/>
                <wp:wrapSquare wrapText="bothSides" distL="114300" distR="114300" distT="114300" distB="114300"/>
                <wp:docPr id="1073741828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5825" cy="1800877"/>
                          <a:chOff x="0" y="0"/>
                          <a:chExt cx="7155824" cy="1800876"/>
                        </a:xfrm>
                      </wpg:grpSpPr>
                      <wps:wsp>
                        <wps:cNvPr id="1073741826" name="Rectangle"/>
                        <wps:cNvSpPr/>
                        <wps:spPr>
                          <a:xfrm rot="5400000">
                            <a:off x="2711131" y="-2711132"/>
                            <a:ext cx="1733564" cy="7155826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Просимо Вас поінформувати про конкурси учнів і вчителів такими способами:…"/>
                        <wps:cNvSpPr txBox="1"/>
                        <wps:spPr>
                          <a:xfrm>
                            <a:off x="64766" y="105413"/>
                            <a:ext cx="7026287" cy="169546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 Просим Вас проинформировать о конкурсах учеников и учителей следующими способами</w:t>
                              </w:r>
                              <w:r>
                                <w:rPr>
                                  <w:rStyle w:val="None"/>
                                  <w:b w:val="1"/>
                                  <w:bCs w:val="1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одно объявление на доске объявлений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240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Вывесить другое объявление в учительской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Опубликовать информацию о конкурсах на сайте школы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1"/>
                                </w:numPr>
                                <w:bidi w:val="0"/>
                                <w:spacing w:line="192" w:lineRule="auto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Если школа пользуется эл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дневником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проинформировать учителей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учеников и родителей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4.3pt;margin-top:21.2pt;width:563.5pt;height:141.8pt;z-index:251660288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7155824,1800877">
                <w10:wrap type="square" side="bothSides" anchorx="page"/>
                <v:rect id="_x0000_s1027" style="position:absolute;left:2711132;top:-2711131;width:1733563;height:715582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28" type="#_x0000_t202" style="position:absolute;left:64766;top:105413;width:7026286;height:169546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 Просим Вас проинформировать о конкурсах учеников и учителей следующими способами</w:t>
                        </w:r>
                        <w:r>
                          <w:rPr>
                            <w:rStyle w:val="None"/>
                            <w:b w:val="1"/>
                            <w:bCs w:val="1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одно объявление на доске объявлений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240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Вывесить другое объявление в учительской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Опубликовать информацию о конкурсах на сайте школы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1"/>
                          </w:numPr>
                          <w:bidi w:val="0"/>
                          <w:spacing w:line="192" w:lineRule="auto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Если школа пользуется эл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дневником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проинформировать учителей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учеников и родителей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Конкурсы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» будут проходить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ноября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 сайт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instrText xml:space="preserve"> HYPERLINK "http://www.brainring.ru"</w:instrText>
      </w:r>
      <w:r>
        <w:rPr>
          <w:rStyle w:val="Hyperlink.1"/>
          <w:outline w:val="0"/>
          <w:color w:val="277dd1"/>
          <w:sz w:val="26"/>
          <w:szCs w:val="26"/>
          <w:u w:val="single" w:color="5b9bd5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1"/>
          <w:outline w:val="0"/>
          <w:color w:val="277dd1"/>
          <w:sz w:val="26"/>
          <w:szCs w:val="26"/>
          <w:u w:val="single" w:color="5b9bd5"/>
          <w:rtl w:val="0"/>
          <w:lang w:val="en-US"/>
          <w14:textFill>
            <w14:solidFill>
              <w14:srgbClr w14:val="277DD1"/>
            </w14:solidFill>
          </w14:textFill>
        </w:rPr>
        <w:t>www.brainring.ru</w:t>
      </w:r>
      <w:r>
        <w:rPr/>
        <w:fldChar w:fldCharType="end" w:fldLock="0"/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Участвовать можно в любое удобное время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outline w:val="0"/>
          <w:color w:val="000000"/>
          <w:sz w:val="26"/>
          <w:szCs w:val="26"/>
          <w:u w:color="000000"/>
          <w:lang w:val="en-US"/>
          <w14:textFill>
            <w14:solidFill>
              <w14:srgbClr w14:val="000000"/>
            </w14:solidFill>
          </w14:textFill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61312" behindDoc="0" locked="0" layoutInCell="1" allowOverlap="1">
                <wp:simplePos x="0" y="0"/>
                <wp:positionH relativeFrom="page">
                  <wp:posOffset>450455</wp:posOffset>
                </wp:positionH>
                <wp:positionV relativeFrom="line">
                  <wp:posOffset>337316</wp:posOffset>
                </wp:positionV>
                <wp:extent cx="6871494" cy="624421"/>
                <wp:effectExtent l="0" t="0" r="0" b="0"/>
                <wp:wrapSquare wrapText="bothSides" distL="114300" distR="114300" distT="114300" distB="114300"/>
                <wp:docPr id="1073741831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1494" cy="624421"/>
                          <a:chOff x="0" y="-1"/>
                          <a:chExt cx="6871493" cy="624420"/>
                        </a:xfrm>
                      </wpg:grpSpPr>
                      <wps:wsp>
                        <wps:cNvPr id="1073741829" name="Rectangle"/>
                        <wps:cNvSpPr/>
                        <wps:spPr>
                          <a:xfrm rot="5400000">
                            <a:off x="3192521" y="-3192522"/>
                            <a:ext cx="486453" cy="6871494"/>
                          </a:xfrm>
                          <a:prstGeom prst="rect">
                            <a:avLst/>
                          </a:prstGeom>
                          <a:solidFill>
                            <a:srgbClr val="FFD96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Конкурси «Брейн Ринг» — дистанційні, учні можуть брати участь у них не тільки в школі, а й вдома, тому дистанційне навчання — не перешкода для участі в конкурсах."/>
                        <wps:cNvSpPr txBox="1"/>
                        <wps:spPr>
                          <a:xfrm>
                            <a:off x="43898" y="1"/>
                            <a:ext cx="6783694" cy="62441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ind w:left="426" w:right="498" w:firstLine="0"/>
                                <w:jc w:val="both"/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Конкурсы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 — дистанционные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ученики могут участвовать в них не только в школе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но и дома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35.5pt;margin-top:26.6pt;width:541.1pt;height:49.2pt;z-index:251661312;mso-position-horizontal:absolute;mso-position-horizontal-relative:page;mso-position-vertical:absolute;mso-position-vertical-relative:line;mso-wrap-distance-left:9.0pt;mso-wrap-distance-top:9.0pt;mso-wrap-distance-right:9.0pt;mso-wrap-distance-bottom:9.0pt;" coordorigin="1,-1" coordsize="6871494,624420">
                <w10:wrap type="square" side="bothSides" anchorx="page"/>
                <v:rect id="_x0000_s1030" style="position:absolute;left:3192522;top:-3192522;width:486452;height:6871494;rotation:5898240fd;">
                  <v:fill color="#FFD96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202" style="position:absolute;left:43899;top:1;width:6783693;height:62441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ind w:left="426" w:right="498" w:firstLine="0"/>
                          <w:jc w:val="both"/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Конкурсы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 — дистанционные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ученики могут участвовать в них не только в школе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но и дома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spacing w:before="160" w:line="264" w:lineRule="auto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Во время конкурсов будет работать служба поддержки</w:t>
      </w:r>
      <w:r>
        <w:rPr>
          <w:rStyle w:val="None"/>
          <w:sz w:val="26"/>
          <w:szCs w:val="26"/>
          <w:rtl w:val="0"/>
          <w:lang w:val="en-US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"mailto:info@brainring.ru"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info@brainring.ru</w:t>
      </w:r>
      <w:r>
        <w:rPr/>
        <w:fldChar w:fldCharType="end" w:fldLock="0"/>
      </w:r>
    </w:p>
    <w:p>
      <w:pPr>
        <w:pStyle w:val="Įprastasis"/>
        <w:spacing w:after="0"/>
        <w:jc w:val="both"/>
        <w:rPr>
          <w:rStyle w:val="None"/>
          <w:b w:val="1"/>
          <w:bCs w:val="1"/>
          <w:outline w:val="0"/>
          <w:color w:val="00ac3b"/>
          <w:sz w:val="34"/>
          <w:szCs w:val="34"/>
          <w:u w:color="ff0000"/>
          <w14:textFill>
            <w14:solidFill>
              <w14:srgbClr w14:val="00AC3B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 xml:space="preserve">Общая стоимость участия одного ученика в конкурсах </w:t>
      </w:r>
      <w:r>
        <w:rPr>
          <w:rStyle w:val="None"/>
          <w:sz w:val="26"/>
          <w:szCs w:val="26"/>
          <w:rtl w:val="0"/>
          <w:lang w:val="en-US"/>
        </w:rPr>
        <w:t>(</w:t>
      </w:r>
      <w:r>
        <w:rPr>
          <w:rStyle w:val="None"/>
          <w:sz w:val="26"/>
          <w:szCs w:val="26"/>
          <w:rtl w:val="0"/>
          <w:lang w:val="en-US"/>
        </w:rPr>
        <w:t xml:space="preserve">от </w:t>
      </w:r>
      <w:r>
        <w:rPr>
          <w:rStyle w:val="None"/>
          <w:sz w:val="26"/>
          <w:szCs w:val="26"/>
          <w:rtl w:val="0"/>
          <w:lang w:val="en-US"/>
        </w:rPr>
        <w:t xml:space="preserve">1 </w:t>
      </w:r>
      <w:r>
        <w:rPr>
          <w:rStyle w:val="None"/>
          <w:sz w:val="26"/>
          <w:szCs w:val="26"/>
          <w:rtl w:val="0"/>
          <w:lang w:val="en-US"/>
        </w:rPr>
        <w:t xml:space="preserve">до </w:t>
      </w:r>
      <w:r>
        <w:rPr>
          <w:rStyle w:val="None"/>
          <w:sz w:val="26"/>
          <w:szCs w:val="26"/>
          <w:rtl w:val="0"/>
          <w:lang w:val="en-US"/>
        </w:rPr>
        <w:t>9</w:t>
      </w:r>
      <w:r>
        <w:rPr>
          <w:rStyle w:val="None"/>
          <w:sz w:val="26"/>
          <w:szCs w:val="26"/>
          <w:rtl w:val="0"/>
          <w:lang w:val="en-US"/>
        </w:rPr>
        <w:t xml:space="preserve"> конкурсов</w:t>
      </w:r>
      <w:r>
        <w:rPr>
          <w:rStyle w:val="None"/>
          <w:sz w:val="26"/>
          <w:szCs w:val="26"/>
          <w:rtl w:val="0"/>
          <w:lang w:val="en-US"/>
        </w:rPr>
        <w:t xml:space="preserve">) </w:t>
      </w:r>
      <w:r>
        <w:rPr>
          <w:rStyle w:val="None"/>
          <w:sz w:val="26"/>
          <w:szCs w:val="26"/>
          <w:rtl w:val="0"/>
          <w:lang w:val="en-US"/>
        </w:rPr>
        <w:t xml:space="preserve">–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30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 xml:space="preserve">0 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р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ru-RU"/>
          <w14:textFill>
            <w14:solidFill>
              <w14:srgbClr w14:val="00AC3B"/>
            </w14:solidFill>
          </w14:textFill>
        </w:rPr>
        <w:t>ублей</w:t>
      </w:r>
      <w:r>
        <w:rPr>
          <w:rStyle w:val="None"/>
          <w:b w:val="1"/>
          <w:bCs w:val="1"/>
          <w:outline w:val="0"/>
          <w:color w:val="00ac3b"/>
          <w:sz w:val="26"/>
          <w:szCs w:val="26"/>
          <w:u w:color="ff0000"/>
          <w:rtl w:val="0"/>
          <w:lang w:val="en-US"/>
          <w14:textFill>
            <w14:solidFill>
              <w14:srgbClr w14:val="00AC3B"/>
            </w14:solidFill>
          </w14:textFill>
        </w:rPr>
        <w:t>.</w:t>
      </w:r>
    </w:p>
    <w:p>
      <w:pPr>
        <w:pStyle w:val="Įprastasis"/>
        <w:spacing w:after="0"/>
        <w:jc w:val="both"/>
        <w:rPr>
          <w:rStyle w:val="None"/>
          <w:sz w:val="34"/>
          <w:szCs w:val="34"/>
        </w:rPr>
      </w:pPr>
      <w:r>
        <w:rPr>
          <w:rStyle w:val="None"/>
          <w:sz w:val="26"/>
          <w:szCs w:val="26"/>
        </w:rPr>
        <mc:AlternateContent>
          <mc:Choice Requires="wpg">
            <w:drawing xmlns:a="http://schemas.openxmlformats.org/drawingml/2006/main">
              <wp:anchor distT="114300" distB="114300" distL="114300" distR="114300" simplePos="0" relativeHeight="251659264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609599</wp:posOffset>
                </wp:positionV>
                <wp:extent cx="6858014" cy="2044818"/>
                <wp:effectExtent l="0" t="0" r="0" b="0"/>
                <wp:wrapSquare wrapText="bothSides" distL="114300" distR="114300" distT="114300" distB="114300"/>
                <wp:docPr id="1073741834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14" cy="2044818"/>
                          <a:chOff x="0" y="-1"/>
                          <a:chExt cx="6858013" cy="2044817"/>
                        </a:xfrm>
                      </wpg:grpSpPr>
                      <wps:wsp>
                        <wps:cNvPr id="1073741832" name="Rectangle"/>
                        <wps:cNvSpPr/>
                        <wps:spPr>
                          <a:xfrm rot="5400000">
                            <a:off x="2406597" y="-2406600"/>
                            <a:ext cx="2044818" cy="6858015"/>
                          </a:xfrm>
                          <a:prstGeom prst="rect">
                            <a:avLst/>
                          </a:prstGeom>
                          <a:solidFill>
                            <a:srgbClr val="FFF2CC"/>
                          </a:solidFill>
                          <a:ln w="38100" cap="flat">
                            <a:solidFill>
                              <a:srgbClr val="FFC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3" name="Переваги конкурсів «Брейн Ринг»:…"/>
                        <wps:cNvSpPr txBox="1"/>
                        <wps:spPr>
                          <a:xfrm>
                            <a:off x="62073" y="128866"/>
                            <a:ext cx="6733865" cy="178708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Įprastasis"/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    Преимущества конкурсов «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Брэйн Ринг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»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34"/>
                                  <w:szCs w:val="34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: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Взнос участника дает возможность участвовать не в одном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а во всех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10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конкурсах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Все участники получат именные грамоты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дипломы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ru-RU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и ручки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Кураторам не нужно вводить ответы учеников или отправлять их по почте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.</w:t>
                              </w:r>
                            </w:p>
                            <w:p>
                              <w:pPr>
                                <w:pStyle w:val="Įprastasis"/>
                                <w:numPr>
                                  <w:ilvl w:val="0"/>
                                  <w:numId w:val="2"/>
                                </w:numPr>
                                <w:bidi w:val="0"/>
                                <w:ind w:right="0"/>
                                <w:jc w:val="left"/>
                                <w:rPr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</w:pP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Кураторы получат сертификаты и компенсацию в виде скидки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, 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а учителя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-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предметники </w:t>
                              </w:r>
                              <w:r>
                                <w:rPr>
                                  <w:rStyle w:val="None A"/>
                                  <w:i w:val="1"/>
                                  <w:iCs w:val="1"/>
                                  <w:sz w:val="26"/>
                                  <w:szCs w:val="26"/>
                                  <w:rtl w:val="0"/>
                                  <w:lang w:val="en-US"/>
                                </w:rPr>
                                <w:t>–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 свидетельства</w:t>
                              </w:r>
                              <w:r>
                                <w:rPr>
                                  <w:rStyle w:val="None"/>
                                  <w:i w:val="1"/>
                                  <w:iCs w:val="1"/>
                                  <w:outline w:val="0"/>
                                  <w:color w:val="000000"/>
                                  <w:sz w:val="26"/>
                                  <w:szCs w:val="26"/>
                                  <w:u w:color="000000"/>
                                  <w:rtl w:val="0"/>
                                  <w:lang w:val="en-US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6.0pt;margin-top:48.0pt;width:540.0pt;height:161.0pt;z-index:251659264;mso-position-horizontal:absolute;mso-position-horizontal-relative:page;mso-position-vertical:absolute;mso-position-vertical-relative:page;mso-wrap-distance-left:9.0pt;mso-wrap-distance-top:9.0pt;mso-wrap-distance-right:9.0pt;mso-wrap-distance-bottom:9.0pt;" coordorigin="-1,-1" coordsize="6858014,2044817">
                <w10:wrap type="square" side="bothSides" anchorx="page" anchory="page"/>
                <v:rect id="_x0000_s1033" style="position:absolute;left:2406598;top:-2406600;width:2044817;height:6858014;rotation:5898240fd;">
                  <v:fill color="#FFF2CC" opacity="100.0%" type="solid"/>
                  <v:stroke filltype="solid" color="#FFC000" opacity="100.0%" weight="3.0pt" dashstyle="dash" endcap="flat" joinstyle="round" linestyle="single" startarrow="none" startarrowwidth="medium" startarrowlength="medium" endarrow="none" endarrowwidth="medium" endarrowlength="medium"/>
                </v:rect>
                <v:shape id="_x0000_s1034" type="#_x0000_t202" style="position:absolute;left:62074;top:128866;width:6733863;height:1787081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Įprastasis"/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    Преимущества конкурсов «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Брэйн Ринг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»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34"/>
                            <w:szCs w:val="34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: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Взнос участника дает возможность участвовать не в одном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а во всех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10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конкурсах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Все участники получат именные грамоты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дипломы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ru-RU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и ручки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Кураторам не нужно вводить ответы учеников или отправлять их по почте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.</w:t>
                        </w:r>
                      </w:p>
                      <w:p>
                        <w:pPr>
                          <w:pStyle w:val="Įprastasis"/>
                          <w:numPr>
                            <w:ilvl w:val="0"/>
                            <w:numId w:val="2"/>
                          </w:numPr>
                          <w:bidi w:val="0"/>
                          <w:ind w:right="0"/>
                          <w:jc w:val="left"/>
                          <w:rPr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</w:pP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Кураторы получат сертификаты и компенсацию в виде скидки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, 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а учителя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-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предметники </w:t>
                        </w:r>
                        <w:r>
                          <w:rPr>
                            <w:rStyle w:val="None A"/>
                            <w:i w:val="1"/>
                            <w:iCs w:val="1"/>
                            <w:sz w:val="26"/>
                            <w:szCs w:val="26"/>
                            <w:rtl w:val="0"/>
                            <w:lang w:val="en-US"/>
                          </w:rPr>
                          <w:t>–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 свидетельства</w:t>
                        </w:r>
                        <w:r>
                          <w:rPr>
                            <w:rStyle w:val="None"/>
                            <w:i w:val="1"/>
                            <w:iCs w:val="1"/>
                            <w:outline w:val="0"/>
                            <w:color w:val="000000"/>
                            <w:sz w:val="26"/>
                            <w:szCs w:val="26"/>
                            <w:u w:color="000000"/>
                            <w:rtl w:val="0"/>
                            <w:lang w:val="en-US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 xml:space="preserve">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Įprastasis"/>
        <w:jc w:val="both"/>
        <w:rPr>
          <w:rStyle w:val="None"/>
          <w:sz w:val="26"/>
          <w:szCs w:val="26"/>
        </w:rPr>
      </w:pPr>
      <w:r>
        <w:rPr>
          <w:rStyle w:val="None"/>
          <w:sz w:val="34"/>
          <w:szCs w:val="34"/>
          <w:rtl w:val="0"/>
          <w:lang w:val="en-US"/>
        </w:rPr>
        <w:t>Компенсация для кураторов</w:t>
      </w:r>
    </w:p>
    <w:p>
      <w:pPr>
        <w:pStyle w:val="Įprastasis"/>
        <w:spacing w:before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6"/>
          <w:szCs w:val="26"/>
          <w:rtl w:val="0"/>
          <w:lang w:val="en-US"/>
        </w:rPr>
        <w:t>Чтобы компенсировать затраты времени кураторов на организацию конкурсов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до </w:t>
      </w:r>
      <w:r>
        <w:rPr>
          <w:rStyle w:val="None"/>
          <w:b w:val="1"/>
          <w:bCs w:val="1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30%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от суммы взносов за участие используется как компенсация для кураторов в виде скидки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зависит от количества учеников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зарегистрированных куратором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чем больше учеников зарегистрирует куратор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 больше процент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10800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88"/>
        <w:gridCol w:w="6112"/>
      </w:tblGrid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Кол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ичест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во учеников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Размер компенсации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1-9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10-24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10%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25-49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15%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50-74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20%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75-99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25%</w:t>
            </w:r>
          </w:p>
        </w:tc>
      </w:tr>
      <w:tr>
        <w:tblPrEx>
          <w:shd w:val="clear" w:color="auto" w:fill="ced7e7"/>
        </w:tblPrEx>
        <w:trPr>
          <w:trHeight w:val="278" w:hRule="atLeast"/>
        </w:trPr>
        <w:tc>
          <w:tcPr>
            <w:tcW w:type="dxa" w:w="4688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100 </w:t>
            </w:r>
            <w:r>
              <w:rPr>
                <w:rStyle w:val="None"/>
                <w:b w:val="1"/>
                <w:bCs w:val="1"/>
                <w:sz w:val="26"/>
                <w:szCs w:val="26"/>
                <w:shd w:val="nil" w:color="auto" w:fill="auto"/>
                <w:rtl w:val="0"/>
                <w:lang w:val="ru-RU"/>
              </w:rPr>
              <w:t>и больше</w:t>
            </w:r>
          </w:p>
        </w:tc>
        <w:tc>
          <w:tcPr>
            <w:tcW w:type="dxa" w:w="611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Įprastasis"/>
              <w:spacing w:after="0" w:line="312" w:lineRule="atLeast"/>
              <w:jc w:val="center"/>
            </w:pPr>
            <w:r>
              <w:rPr>
                <w:rStyle w:val="None"/>
                <w:sz w:val="26"/>
                <w:szCs w:val="26"/>
                <w:shd w:val="nil" w:color="auto" w:fill="auto"/>
                <w:rtl w:val="0"/>
                <w:lang w:val="en-US"/>
              </w:rPr>
              <w:t>30%</w:t>
            </w:r>
          </w:p>
        </w:tc>
      </w:tr>
    </w:tbl>
    <w:p>
      <w:pPr>
        <w:pStyle w:val="Įprastasis"/>
        <w:widowControl w:val="0"/>
        <w:spacing w:before="100" w:line="240" w:lineRule="auto"/>
        <w:ind w:left="324" w:hanging="324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Размер компенсации высчитывается автоматически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В счете на оплату сумма указывается с учетом компенсации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Įprastasis"/>
        <w:spacing w:before="100" w:after="100"/>
        <w:jc w:val="both"/>
        <w:rPr>
          <w:rStyle w:val="None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rPr>
          <w:rStyle w:val="None"/>
          <w:sz w:val="26"/>
          <w:szCs w:val="26"/>
        </w:rPr>
      </w:pP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уважением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br w:type="textWrapping"/>
        <w:t>Организаторы образовательных конкурсов «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Брэйн Ринг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»</w:t>
        <w:br w:type="textWrapping"/>
      </w:r>
      <w:r>
        <w:rPr>
          <w:rStyle w:val="None"/>
          <w:sz w:val="26"/>
          <w:szCs w:val="26"/>
          <w:rtl w:val="0"/>
          <w:lang w:val="ru-RU"/>
        </w:rPr>
        <w:t>Э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л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по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</w:t>
      </w:r>
      <w:r>
        <w:rPr>
          <w:rStyle w:val="None"/>
          <w:outline w:val="0"/>
          <w:color w:val="000000"/>
          <w:sz w:val="26"/>
          <w:szCs w:val="2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та </w: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begin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instrText xml:space="preserve"> HYPERLINK "mailto:info@brainring.ru"</w:instrText>
      </w:r>
      <w:r>
        <w:rPr>
          <w:rStyle w:val="Hyperlink.2"/>
          <w:outline w:val="0"/>
          <w:color w:val="277dd1"/>
          <w:sz w:val="26"/>
          <w:szCs w:val="26"/>
          <w:u w:val="single" w:color="277dd1"/>
          <w:lang w:val="en-US"/>
          <w14:textFill>
            <w14:solidFill>
              <w14:srgbClr w14:val="277DD1"/>
            </w14:solidFill>
          </w14:textFill>
        </w:rPr>
        <w:fldChar w:fldCharType="separate" w:fldLock="0"/>
      </w:r>
      <w:r>
        <w:rPr>
          <w:rStyle w:val="Hyperlink.2"/>
          <w:outline w:val="0"/>
          <w:color w:val="277dd1"/>
          <w:sz w:val="26"/>
          <w:szCs w:val="26"/>
          <w:u w:val="single" w:color="277dd1"/>
          <w:rtl w:val="0"/>
          <w:lang w:val="en-US"/>
          <w14:textFill>
            <w14:solidFill>
              <w14:srgbClr w14:val="277DD1"/>
            </w14:solidFill>
          </w14:textFill>
        </w:rPr>
        <w:t>info@brainring.ru</w:t>
      </w:r>
      <w:r>
        <w:rPr/>
        <w:fldChar w:fldCharType="end" w:fldLock="0"/>
      </w:r>
    </w:p>
    <w:p>
      <w:pPr>
        <w:pStyle w:val="Įprastasis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Įprastasis"/>
        <w:spacing w:after="0"/>
        <w:jc w:val="center"/>
      </w:pPr>
      <w:r>
        <w:rPr>
          <w:rStyle w:val="None"/>
          <w:outline w:val="0"/>
          <w:color w:val="000000"/>
          <w:sz w:val="32"/>
          <w:szCs w:val="3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Подробная информация о конкурсах –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"http://www.brainring.com.ua"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www.brainring.com.ua</w:t>
      </w:r>
      <w:r>
        <w:rPr/>
        <w:fldChar w:fldCharType="end" w:fldLock="0"/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✓"/>
      <w:lvlJc w:val="left"/>
      <w:pPr>
        <w:ind w:left="7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5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Įprastasis">
    <w:name w:val="Įprastasis"/>
    <w:next w:val="Įprastasi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277dd1"/>
      <w:sz w:val="26"/>
      <w:szCs w:val="26"/>
      <w:u w:val="single" w:color="277dd1"/>
      <w14:textFill>
        <w14:solidFill>
          <w14:srgbClr w14:val="277DD1"/>
        </w14:solidFill>
      </w14:textFill>
    </w:rPr>
  </w:style>
  <w:style w:type="character" w:styleId="None A">
    <w:name w:val="None A"/>
  </w:style>
  <w:style w:type="character" w:styleId="Hyperlink.1">
    <w:name w:val="Hyperlink.1"/>
    <w:basedOn w:val="None"/>
    <w:next w:val="Hyperlink.1"/>
    <w:rPr>
      <w:outline w:val="0"/>
      <w:color w:val="277dd1"/>
      <w:sz w:val="26"/>
      <w:szCs w:val="26"/>
      <w:u w:val="single" w:color="5b9bd5"/>
      <w:lang w:val="en-US"/>
      <w14:textFill>
        <w14:solidFill>
          <w14:srgbClr w14:val="277DD1"/>
        </w14:solidFill>
      </w14:textFill>
    </w:rPr>
  </w:style>
  <w:style w:type="character" w:styleId="Hyperlink.2">
    <w:name w:val="Hyperlink.2"/>
    <w:basedOn w:val="None"/>
    <w:next w:val="Hyperlink.2"/>
    <w:rPr>
      <w:outline w:val="0"/>
      <w:color w:val="277dd1"/>
      <w:sz w:val="26"/>
      <w:szCs w:val="26"/>
      <w:u w:val="single" w:color="277dd1"/>
      <w:lang w:val="en-US"/>
      <w14:textFill>
        <w14:solidFill>
          <w14:srgbClr w14:val="277DD1"/>
        </w14:solidFill>
      </w14:textFill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b w:val="1"/>
      <w:bCs w:val="1"/>
      <w:outline w:val="0"/>
      <w:color w:val="00ac3b"/>
      <w:sz w:val="32"/>
      <w:szCs w:val="32"/>
      <w:u w:color="00ac3b"/>
      <w14:textFill>
        <w14:solidFill>
          <w14:srgbClr w14:val="00AC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